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396B5" w14:textId="307459A8" w:rsidR="00B801DE" w:rsidRDefault="001679C3" w:rsidP="001679C3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Additional Information about Transgender Health Care – Pediatrics </w:t>
      </w:r>
    </w:p>
    <w:p w14:paraId="7AA040AB" w14:textId="76D180CA" w:rsidR="001679C3" w:rsidRDefault="001679C3" w:rsidP="001679C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Questions: </w:t>
      </w:r>
    </w:p>
    <w:p w14:paraId="5E46CA61" w14:textId="6FDF5EC9" w:rsidR="001679C3" w:rsidRDefault="001679C3" w:rsidP="001679C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the process for consent in MN (one parent vs two, </w:t>
      </w:r>
      <w:proofErr w:type="gramStart"/>
      <w:r>
        <w:rPr>
          <w:rFonts w:cstheme="minorHAnsi"/>
          <w:sz w:val="24"/>
          <w:szCs w:val="24"/>
        </w:rPr>
        <w:t>etc).</w:t>
      </w:r>
      <w:proofErr w:type="gramEnd"/>
    </w:p>
    <w:p w14:paraId="67443B41" w14:textId="577A2FA2" w:rsidR="001679C3" w:rsidRDefault="001679C3" w:rsidP="001679C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children who are seeking gender affirming treatment go through a psychological and bioethical consultation process?</w:t>
      </w:r>
    </w:p>
    <w:p w14:paraId="0582502B" w14:textId="0AE1B931" w:rsidR="001679C3" w:rsidRDefault="001679C3" w:rsidP="001679C3">
      <w:pPr>
        <w:spacing w:after="0" w:line="240" w:lineRule="auto"/>
        <w:rPr>
          <w:rFonts w:cstheme="minorHAnsi"/>
          <w:sz w:val="24"/>
          <w:szCs w:val="24"/>
        </w:rPr>
      </w:pPr>
    </w:p>
    <w:p w14:paraId="108A4A2C" w14:textId="513BB91B" w:rsidR="001679C3" w:rsidRDefault="001679C3" w:rsidP="001679C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Answers:</w:t>
      </w:r>
    </w:p>
    <w:p w14:paraId="7B3918D9" w14:textId="38992222" w:rsidR="001679C3" w:rsidRDefault="001679C3" w:rsidP="001679C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Minnesota law says one parent or guardian must consent to any medical care (anecdote: Mayo legal does support this for trans care)</w:t>
      </w:r>
    </w:p>
    <w:p w14:paraId="65BF437F" w14:textId="1F6CADED" w:rsidR="001679C3" w:rsidRDefault="001679C3" w:rsidP="001679C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Our clinic, specifically, strongly encourages support of all caregivers in this process due to the history of loss of familial support in the queer/gender diverse population. Therefore, if there are active parents that have legal rights, we reach out if able to all parties to participate unless there is a safety concern.</w:t>
      </w:r>
    </w:p>
    <w:p w14:paraId="275927F4" w14:textId="6195CC82" w:rsidR="00317339" w:rsidRDefault="00317339" w:rsidP="001679C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Our clinic prefers in person consent (no forms to sign)</w:t>
      </w:r>
    </w:p>
    <w:p w14:paraId="52FE7656" w14:textId="5F39C697" w:rsidR="001679C3" w:rsidRDefault="001679C3" w:rsidP="001679C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Bioethics is only involved if we have a recommendation for care and parents are unable to come to a joint decision to proceed in the best interest of the child (can say this would be similar in other scenarios, e.g. pediatric hematology/oncology). It is not common that they are involved with our patient population. An example of when this may be done – divorced parents who do not agree.</w:t>
      </w:r>
    </w:p>
    <w:p w14:paraId="54D04EC4" w14:textId="46846A7E" w:rsidR="001679C3" w:rsidRDefault="001679C3" w:rsidP="001679C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Psychological assessment is done if there are behavioral health complexities</w:t>
      </w:r>
    </w:p>
    <w:p w14:paraId="60F6433B" w14:textId="5E9E1472" w:rsidR="001679C3" w:rsidRDefault="001679C3" w:rsidP="001679C3">
      <w:pPr>
        <w:spacing w:after="0" w:line="240" w:lineRule="auto"/>
        <w:rPr>
          <w:rFonts w:cstheme="minorHAnsi"/>
          <w:sz w:val="24"/>
          <w:szCs w:val="24"/>
        </w:rPr>
      </w:pPr>
    </w:p>
    <w:p w14:paraId="71833739" w14:textId="51EA6F6E" w:rsidR="001679C3" w:rsidRDefault="001679C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9C1B431" w14:textId="311AAD39" w:rsidR="001679C3" w:rsidRDefault="001679C3" w:rsidP="001679C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Additional Helpful Articles/Resources</w:t>
      </w:r>
    </w:p>
    <w:p w14:paraId="67743959" w14:textId="70C8FCC5" w:rsidR="001679C3" w:rsidRDefault="001679C3" w:rsidP="001679C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DD0F411" w14:textId="23A818A5" w:rsidR="00317339" w:rsidRDefault="00317339" w:rsidP="0031733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Some of these resources are listed in your slides</w:t>
      </w:r>
    </w:p>
    <w:p w14:paraId="1F783B3E" w14:textId="0CB695F4" w:rsidR="00D60489" w:rsidRDefault="001679C3" w:rsidP="0031733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UCSF Guidelines</w:t>
      </w:r>
    </w:p>
    <w:p w14:paraId="62DF247A" w14:textId="286112FB" w:rsidR="00317339" w:rsidRPr="00317339" w:rsidRDefault="00D60489" w:rsidP="00D60489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hyperlink r:id="rId5" w:history="1">
        <w:r w:rsidR="00317339" w:rsidRPr="00317339">
          <w:rPr>
            <w:rStyle w:val="Hyperlink"/>
            <w:rFonts w:cstheme="minorHAnsi"/>
            <w:sz w:val="24"/>
            <w:szCs w:val="24"/>
          </w:rPr>
          <w:t>https://transcare.ucsf.edu/guidelines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14B0AF04" w14:textId="77777777" w:rsidR="00D60489" w:rsidRDefault="00317339" w:rsidP="0031733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WPATH V7 (V8 to be released later this year)</w:t>
      </w:r>
    </w:p>
    <w:p w14:paraId="2101F2F6" w14:textId="443CAC8D" w:rsidR="00317339" w:rsidRDefault="00D60489" w:rsidP="00D60489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hyperlink r:id="rId6" w:history="1">
        <w:r w:rsidR="00317339" w:rsidRPr="00317339">
          <w:rPr>
            <w:rStyle w:val="Hyperlink"/>
            <w:rFonts w:cstheme="minorHAnsi"/>
            <w:sz w:val="24"/>
            <w:szCs w:val="24"/>
          </w:rPr>
          <w:t>https://www.wpath.org/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6FA8859D" w14:textId="1841CC67" w:rsidR="00317339" w:rsidRDefault="00D60489" w:rsidP="0031733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Psychological Functioning</w:t>
      </w:r>
    </w:p>
    <w:p w14:paraId="2F4B591F" w14:textId="6A23938C" w:rsidR="00317339" w:rsidRPr="00317339" w:rsidRDefault="00D60489" w:rsidP="00D60489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hyperlink r:id="rId7" w:history="1">
        <w:r w:rsidRPr="00AC0877">
          <w:rPr>
            <w:rStyle w:val="Hyperlink"/>
            <w:rFonts w:cstheme="minorHAnsi"/>
            <w:sz w:val="24"/>
            <w:szCs w:val="24"/>
          </w:rPr>
          <w:t>https://pubmed.ncbi.nlm.nih.gov/27595141/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699611EB" w14:textId="7D4171C5" w:rsidR="001679C3" w:rsidRDefault="00317339" w:rsidP="001679C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VTE</w:t>
      </w:r>
    </w:p>
    <w:p w14:paraId="48959023" w14:textId="79EDC9A1" w:rsidR="00D60489" w:rsidRDefault="00D60489" w:rsidP="00317339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hyperlink r:id="rId8" w:history="1">
        <w:r w:rsidRPr="00AC0877">
          <w:rPr>
            <w:rStyle w:val="Hyperlink"/>
            <w:rFonts w:cstheme="minorHAnsi"/>
            <w:sz w:val="24"/>
            <w:szCs w:val="24"/>
          </w:rPr>
          <w:t>https://pubmed.ncbi.nlm.nih.gov/17986639/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60A79F2A" w14:textId="00D270E1" w:rsidR="00317339" w:rsidRDefault="00D60489" w:rsidP="00317339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hyperlink r:id="rId9" w:history="1">
        <w:r w:rsidRPr="00AC0877">
          <w:rPr>
            <w:rStyle w:val="Hyperlink"/>
            <w:rFonts w:cstheme="minorHAnsi"/>
            <w:sz w:val="24"/>
            <w:szCs w:val="24"/>
          </w:rPr>
          <w:t>https://pubmed.ncbi.nlm.nih.gov/33417686/</w:t>
        </w:r>
      </w:hyperlink>
      <w:r w:rsidR="00317339">
        <w:rPr>
          <w:rFonts w:cstheme="minorHAnsi"/>
          <w:sz w:val="24"/>
          <w:szCs w:val="24"/>
        </w:rPr>
        <w:t xml:space="preserve"> </w:t>
      </w:r>
    </w:p>
    <w:p w14:paraId="52B6911F" w14:textId="4F7BC1A3" w:rsidR="00317339" w:rsidRDefault="00317339" w:rsidP="00317339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hyperlink r:id="rId10" w:history="1">
        <w:r w:rsidRPr="00AC0877">
          <w:rPr>
            <w:rStyle w:val="Hyperlink"/>
            <w:rFonts w:cstheme="minorHAnsi"/>
            <w:sz w:val="24"/>
            <w:szCs w:val="24"/>
          </w:rPr>
          <w:t>https://pubmed.ncbi.nlm.nih.gov/33776045/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3BDD231A" w14:textId="3FF1344C" w:rsidR="00317339" w:rsidRDefault="00317339" w:rsidP="00317339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hyperlink r:id="rId11" w:history="1">
        <w:r w:rsidRPr="00AC0877">
          <w:rPr>
            <w:rStyle w:val="Hyperlink"/>
            <w:rFonts w:cstheme="minorHAnsi"/>
            <w:sz w:val="24"/>
            <w:szCs w:val="24"/>
          </w:rPr>
          <w:t>https://pubmed.ncbi.nlm.nih.gov/33776045/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5E0610AA" w14:textId="61A9E225" w:rsidR="00317339" w:rsidRDefault="00317339" w:rsidP="001679C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Breast cancer</w:t>
      </w:r>
    </w:p>
    <w:p w14:paraId="0A64A54C" w14:textId="7B24E79A" w:rsidR="00D60489" w:rsidRDefault="00D60489" w:rsidP="00317339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hyperlink r:id="rId12" w:history="1">
        <w:r w:rsidRPr="00AC0877">
          <w:rPr>
            <w:rStyle w:val="Hyperlink"/>
            <w:rFonts w:cstheme="minorHAnsi"/>
            <w:sz w:val="24"/>
            <w:szCs w:val="24"/>
          </w:rPr>
          <w:t>https://www.bmj.com/content/365/bmj.l1652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4D559B4E" w14:textId="72246E6E" w:rsidR="00317339" w:rsidRDefault="00D60489" w:rsidP="00317339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hyperlink r:id="rId13" w:history="1">
        <w:r w:rsidRPr="00AC0877">
          <w:rPr>
            <w:rStyle w:val="Hyperlink"/>
            <w:rFonts w:cstheme="minorHAnsi"/>
            <w:sz w:val="24"/>
            <w:szCs w:val="24"/>
          </w:rPr>
          <w:t>https://pubmed.ncbi.nlm.nih.gov/34455238/</w:t>
        </w:r>
      </w:hyperlink>
      <w:r w:rsidR="00317339">
        <w:rPr>
          <w:rFonts w:cstheme="minorHAnsi"/>
          <w:sz w:val="24"/>
          <w:szCs w:val="24"/>
        </w:rPr>
        <w:t xml:space="preserve"> </w:t>
      </w:r>
    </w:p>
    <w:p w14:paraId="210CCB60" w14:textId="7D4D8A07" w:rsidR="00317339" w:rsidRDefault="00317339" w:rsidP="001679C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CV Disease</w:t>
      </w:r>
      <w:r w:rsidR="00D60489">
        <w:rPr>
          <w:rFonts w:cstheme="minorHAnsi"/>
          <w:sz w:val="24"/>
          <w:szCs w:val="24"/>
        </w:rPr>
        <w:t>/Cholesterol</w:t>
      </w:r>
      <w:r w:rsidR="00524624">
        <w:rPr>
          <w:rFonts w:cstheme="minorHAnsi"/>
          <w:sz w:val="24"/>
          <w:szCs w:val="24"/>
        </w:rPr>
        <w:t>/Diabetes</w:t>
      </w:r>
    </w:p>
    <w:p w14:paraId="015218CD" w14:textId="076C2FC7" w:rsidR="00D60489" w:rsidRDefault="00D60489" w:rsidP="00D60489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hyperlink r:id="rId14" w:history="1">
        <w:r w:rsidRPr="00AC0877">
          <w:rPr>
            <w:rStyle w:val="Hyperlink"/>
            <w:rFonts w:cstheme="minorHAnsi"/>
            <w:sz w:val="24"/>
            <w:szCs w:val="24"/>
          </w:rPr>
          <w:t>https://pubmed.ncbi.</w:t>
        </w:r>
        <w:r w:rsidRPr="00AC0877">
          <w:rPr>
            <w:rStyle w:val="Hyperlink"/>
            <w:rFonts w:cstheme="minorHAnsi"/>
            <w:sz w:val="24"/>
            <w:szCs w:val="24"/>
          </w:rPr>
          <w:t>n</w:t>
        </w:r>
        <w:r w:rsidRPr="00AC0877">
          <w:rPr>
            <w:rStyle w:val="Hyperlink"/>
            <w:rFonts w:cstheme="minorHAnsi"/>
            <w:sz w:val="24"/>
            <w:szCs w:val="24"/>
          </w:rPr>
          <w:t>lm.nih.gov/23904280/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5C7192A0" w14:textId="7838D0D0" w:rsidR="00D60489" w:rsidRDefault="00524624" w:rsidP="00D60489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hyperlink r:id="rId15" w:history="1">
        <w:r w:rsidRPr="00AC0877">
          <w:rPr>
            <w:rStyle w:val="Hyperlink"/>
            <w:rFonts w:cstheme="minorHAnsi"/>
            <w:sz w:val="24"/>
            <w:szCs w:val="24"/>
          </w:rPr>
          <w:t>https://academic.oup.com/jcem/article/102/11/3914/4157557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7EAE448A" w14:textId="78F83E1E" w:rsidR="00D60489" w:rsidRDefault="00D60489" w:rsidP="001679C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Erythrocytosis</w:t>
      </w:r>
    </w:p>
    <w:p w14:paraId="6673FBF5" w14:textId="4DE4647B" w:rsidR="00D60489" w:rsidRDefault="00D60489" w:rsidP="00D60489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hyperlink r:id="rId16" w:history="1">
        <w:r w:rsidRPr="00AC0877">
          <w:rPr>
            <w:rStyle w:val="Hyperlink"/>
            <w:rFonts w:cstheme="minorHAnsi"/>
            <w:sz w:val="24"/>
            <w:szCs w:val="24"/>
          </w:rPr>
          <w:t>https://www.ncbi.nlm.nih.gov/pmc/articles/PMC8048491/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4F5169AB" w14:textId="4728CA9A" w:rsidR="00317339" w:rsidRDefault="00317339" w:rsidP="001679C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Obesity</w:t>
      </w:r>
    </w:p>
    <w:p w14:paraId="02F13EDB" w14:textId="2B634AEB" w:rsidR="00317339" w:rsidRDefault="00317339" w:rsidP="00317339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hyperlink r:id="rId17" w:history="1">
        <w:r w:rsidRPr="00AC0877">
          <w:rPr>
            <w:rStyle w:val="Hyperlink"/>
            <w:rFonts w:cstheme="minorHAnsi"/>
            <w:sz w:val="24"/>
            <w:szCs w:val="24"/>
          </w:rPr>
          <w:t>https://pubmed.ncbi.nlm.nih.gov/34400797/</w:t>
        </w:r>
      </w:hyperlink>
      <w:r>
        <w:rPr>
          <w:rFonts w:cstheme="minorHAnsi"/>
          <w:sz w:val="24"/>
          <w:szCs w:val="24"/>
        </w:rPr>
        <w:t xml:space="preserve"> (just an FYI – we do start hormones in obese patients)</w:t>
      </w:r>
    </w:p>
    <w:p w14:paraId="1334B5F5" w14:textId="2551D47C" w:rsidR="00317339" w:rsidRDefault="00317339" w:rsidP="001679C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</w:t>
      </w:r>
    </w:p>
    <w:p w14:paraId="4F59D222" w14:textId="2910AC90" w:rsidR="00317339" w:rsidRDefault="00317339" w:rsidP="00317339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hyperlink r:id="rId18" w:history="1">
        <w:r w:rsidRPr="00AC0877">
          <w:rPr>
            <w:rStyle w:val="Hyperlink"/>
            <w:rFonts w:cstheme="minorHAnsi"/>
            <w:sz w:val="24"/>
            <w:szCs w:val="24"/>
          </w:rPr>
          <w:t>https://pubmed.ncbi.nlm.nih.gov/34474185/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7FB8D70B" w14:textId="0DA6563E" w:rsidR="00D60489" w:rsidRDefault="00D60489" w:rsidP="00D60489">
      <w:pPr>
        <w:spacing w:after="0" w:line="240" w:lineRule="auto"/>
        <w:rPr>
          <w:rFonts w:cstheme="minorHAnsi"/>
          <w:sz w:val="24"/>
          <w:szCs w:val="24"/>
        </w:rPr>
      </w:pPr>
    </w:p>
    <w:p w14:paraId="4147467D" w14:textId="02D1D911" w:rsidR="00D60489" w:rsidRPr="00D60489" w:rsidRDefault="00D60489" w:rsidP="00D6048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will note that some of these do show increased risks, and my recommendation is to consider those risk factors, discuss them, and work on appropriate management. Encourage smoking cessation, </w:t>
      </w:r>
      <w:r w:rsidR="00524624">
        <w:rPr>
          <w:rFonts w:cstheme="minorHAnsi"/>
          <w:sz w:val="24"/>
          <w:szCs w:val="24"/>
        </w:rPr>
        <w:t xml:space="preserve">screen lipids, screen glucose, get your routine screenings, </w:t>
      </w:r>
      <w:r>
        <w:rPr>
          <w:rFonts w:cstheme="minorHAnsi"/>
          <w:sz w:val="24"/>
          <w:szCs w:val="24"/>
        </w:rPr>
        <w:t>healthy lifestyle, etc.</w:t>
      </w:r>
    </w:p>
    <w:sectPr w:rsidR="00D60489" w:rsidRPr="00D60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84ADC"/>
    <w:multiLevelType w:val="hybridMultilevel"/>
    <w:tmpl w:val="4040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A2C2A"/>
    <w:multiLevelType w:val="hybridMultilevel"/>
    <w:tmpl w:val="F114249C"/>
    <w:lvl w:ilvl="0" w:tplc="021C5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FCC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A6E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C9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583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8A1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A3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6A7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3E4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D397F50"/>
    <w:multiLevelType w:val="hybridMultilevel"/>
    <w:tmpl w:val="F474B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01A49"/>
    <w:multiLevelType w:val="hybridMultilevel"/>
    <w:tmpl w:val="50F8CBA8"/>
    <w:lvl w:ilvl="0" w:tplc="96CC9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400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C4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0A3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EAB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C5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7A5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2E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22C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87A0797"/>
    <w:multiLevelType w:val="hybridMultilevel"/>
    <w:tmpl w:val="9598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679C3"/>
    <w:rsid w:val="001679C3"/>
    <w:rsid w:val="00317339"/>
    <w:rsid w:val="00524624"/>
    <w:rsid w:val="00B801DE"/>
    <w:rsid w:val="00D60489"/>
    <w:rsid w:val="00E7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7B6FA"/>
  <w15:chartTrackingRefBased/>
  <w15:docId w15:val="{3F6F9BDC-482F-4998-B543-C5F70236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9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3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3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46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816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7738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17986639/" TargetMode="External"/><Relationship Id="rId13" Type="http://schemas.openxmlformats.org/officeDocument/2006/relationships/hyperlink" Target="https://pubmed.ncbi.nlm.nih.gov/34455238/" TargetMode="External"/><Relationship Id="rId18" Type="http://schemas.openxmlformats.org/officeDocument/2006/relationships/hyperlink" Target="https://pubmed.ncbi.nlm.nih.gov/3447418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27595141/" TargetMode="External"/><Relationship Id="rId12" Type="http://schemas.openxmlformats.org/officeDocument/2006/relationships/hyperlink" Target="https://www.bmj.com/content/365/bmj.l1652" TargetMode="External"/><Relationship Id="rId17" Type="http://schemas.openxmlformats.org/officeDocument/2006/relationships/hyperlink" Target="https://pubmed.ncbi.nlm.nih.gov/3440079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mc/articles/PMC8048491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wpath.org/" TargetMode="External"/><Relationship Id="rId11" Type="http://schemas.openxmlformats.org/officeDocument/2006/relationships/hyperlink" Target="https://pubmed.ncbi.nlm.nih.gov/33776045/" TargetMode="External"/><Relationship Id="rId5" Type="http://schemas.openxmlformats.org/officeDocument/2006/relationships/hyperlink" Target="https://transcare.ucsf.edu/guidelines" TargetMode="External"/><Relationship Id="rId15" Type="http://schemas.openxmlformats.org/officeDocument/2006/relationships/hyperlink" Target="https://academic.oup.com/jcem/article/102/11/3914/4157557" TargetMode="External"/><Relationship Id="rId10" Type="http://schemas.openxmlformats.org/officeDocument/2006/relationships/hyperlink" Target="https://pubmed.ncbi.nlm.nih.gov/33776045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33417686/" TargetMode="External"/><Relationship Id="rId14" Type="http://schemas.openxmlformats.org/officeDocument/2006/relationships/hyperlink" Target="https://pubmed.ncbi.nlm.nih.gov/2390428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Herndon, Justine S., P.A.-C.</dc:creator>
  <cp:keywords/>
  <dc:description/>
  <cp:lastModifiedBy>Herndon, Justine S., P.A.-C.</cp:lastModifiedBy>
  <cp:revision>1</cp:revision>
  <dcterms:created xsi:type="dcterms:W3CDTF">2021-10-01T16:05:00Z</dcterms:created>
  <dcterms:modified xsi:type="dcterms:W3CDTF">2021-10-01T16:37:00Z</dcterms:modified>
</cp:coreProperties>
</file>